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Minnesota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0"/>
                <w:szCs w:val="30"/>
              </w:rPr>
            </w:pPr>
            <w:r w:rsidDel="00000000" w:rsidR="00000000" w:rsidRPr="00000000">
              <w:rPr>
                <w:rFonts w:ascii="Arial" w:cs="Arial" w:eastAsia="Arial" w:hAnsi="Arial"/>
                <w:b w:val="1"/>
                <w:sz w:val="30"/>
                <w:szCs w:val="30"/>
                <w:rtl w:val="0"/>
              </w:rPr>
              <w:t xml:space="preserve">MINNESOTA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