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tbl>
      <w:tblPr>
        <w:tblStyle w:val="Table1"/>
        <w:tblW w:w="9420.0" w:type="dxa"/>
        <w:jc w:val="center"/>
        <w:tblLayout w:type="fixed"/>
        <w:tblLook w:val="0400"/>
      </w:tblPr>
      <w:tblGrid>
        <w:gridCol w:w="4395"/>
        <w:gridCol w:w="5025"/>
        <w:tblGridChange w:id="0">
          <w:tblGrid>
            <w:gridCol w:w="4395"/>
            <w:gridCol w:w="5025"/>
          </w:tblGrid>
        </w:tblGridChange>
      </w:tblGrid>
      <w:tr>
        <w:trPr>
          <w:cantSplit w:val="0"/>
          <w:trHeight w:val="255" w:hRule="atLeast"/>
          <w:tblHeader w:val="0"/>
        </w:trPr>
        <w:tc>
          <w:tcPr>
            <w:tcMar>
              <w:top w:w="0.0" w:type="dxa"/>
              <w:left w:w="108.0" w:type="dxa"/>
              <w:bottom w:w="0.0" w:type="dxa"/>
              <w:right w:w="108.0" w:type="dxa"/>
            </w:tcMar>
            <w:vAlign w:val="bottom"/>
          </w:tcPr>
          <w:p w:rsidR="00000000" w:rsidDel="00000000" w:rsidP="00000000" w:rsidRDefault="00000000" w:rsidRPr="00000000" w14:paraId="00000002">
            <w:pPr>
              <w:spacing w:before="20" w:line="276" w:lineRule="auto"/>
              <w:ind w:left="-108" w:firstLine="0"/>
              <w:rPr>
                <w:sz w:val="20"/>
                <w:szCs w:val="20"/>
              </w:rPr>
            </w:pPr>
            <w:r w:rsidDel="00000000" w:rsidR="00000000" w:rsidRPr="00000000">
              <w:rPr>
                <w:rFonts w:ascii="Arial" w:cs="Arial" w:eastAsia="Arial" w:hAnsi="Arial"/>
                <w:sz w:val="20"/>
                <w:szCs w:val="20"/>
                <w:rtl w:val="0"/>
              </w:rPr>
              <w:t xml:space="preserve">State of _______________</w:t>
            </w:r>
            <w:r w:rsidDel="00000000" w:rsidR="00000000" w:rsidRPr="00000000">
              <w:rPr>
                <w:rtl w:val="0"/>
              </w:rPr>
            </w:r>
          </w:p>
        </w:tc>
        <w:tc>
          <w:tcPr>
            <w:tcMar>
              <w:top w:w="0.0" w:type="dxa"/>
              <w:left w:w="108.0" w:type="dxa"/>
              <w:bottom w:w="0.0" w:type="dxa"/>
              <w:right w:w="108.0" w:type="dxa"/>
            </w:tcMar>
            <w:vAlign w:val="center"/>
          </w:tcPr>
          <w:p w:rsidR="00000000" w:rsidDel="00000000" w:rsidP="00000000" w:rsidRDefault="00000000" w:rsidRPr="00000000" w14:paraId="00000003">
            <w:pPr>
              <w:spacing w:before="20" w:lineRule="auto"/>
              <w:ind w:right="-108"/>
              <w:jc w:val="right"/>
              <w:rPr>
                <w:sz w:val="17"/>
                <w:szCs w:val="17"/>
              </w:rPr>
            </w:pPr>
            <w:r w:rsidDel="00000000" w:rsidR="00000000" w:rsidRPr="00000000">
              <w:rPr>
                <w:rtl w:val="0"/>
              </w:rPr>
            </w:r>
          </w:p>
        </w:tc>
      </w:tr>
    </w:tbl>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tbl>
      <w:tblPr>
        <w:tblStyle w:val="Table2"/>
        <w:tblW w:w="9530.0" w:type="dxa"/>
        <w:jc w:val="center"/>
        <w:tblBorders>
          <w:bottom w:color="000000" w:space="0" w:sz="24" w:val="single"/>
        </w:tblBorders>
        <w:tblLayout w:type="fixed"/>
        <w:tblLook w:val="0400"/>
      </w:tblPr>
      <w:tblGrid>
        <w:gridCol w:w="9530"/>
        <w:tblGridChange w:id="0">
          <w:tblGrid>
            <w:gridCol w:w="9530"/>
          </w:tblGrid>
        </w:tblGridChange>
      </w:tblGrid>
      <w:tr>
        <w:trPr>
          <w:cantSplit w:val="0"/>
          <w:trHeight w:val="567" w:hRule="atLeast"/>
          <w:tblHeader w:val="0"/>
        </w:trPr>
        <w:tc>
          <w:tcPr>
            <w:shd w:fill="auto" w:val="clear"/>
            <w:vAlign w:val="bottom"/>
          </w:tcPr>
          <w:p w:rsidR="00000000" w:rsidDel="00000000" w:rsidP="00000000" w:rsidRDefault="00000000" w:rsidRPr="00000000" w14:paraId="00000005">
            <w:pPr>
              <w:spacing w:before="20" w:line="276" w:lineRule="auto"/>
              <w:ind w:right="-108"/>
              <w:jc w:val="center"/>
              <w:rPr>
                <w:rFonts w:ascii="Arial" w:cs="Arial" w:eastAsia="Arial" w:hAnsi="Arial"/>
                <w:sz w:val="40"/>
                <w:szCs w:val="40"/>
              </w:rPr>
            </w:pPr>
            <w:r w:rsidDel="00000000" w:rsidR="00000000" w:rsidRPr="00000000">
              <w:rPr>
                <w:rFonts w:ascii="Arial" w:cs="Arial" w:eastAsia="Arial" w:hAnsi="Arial"/>
                <w:b w:val="1"/>
                <w:sz w:val="40"/>
                <w:szCs w:val="40"/>
                <w:rtl w:val="0"/>
              </w:rPr>
              <w:t xml:space="preserve"> MILITARY ADDENDUM TO LEASE AGREEMENT</w:t>
            </w:r>
            <w:r w:rsidDel="00000000" w:rsidR="00000000" w:rsidRPr="00000000">
              <w:rPr>
                <w:rtl w:val="0"/>
              </w:rPr>
            </w:r>
          </w:p>
        </w:tc>
      </w:tr>
    </w:tbl>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Military Addendum to the Lease Agreement (this “Addendum”) is made on _____ day of _______________, 20_____, by and between ________________________ ("Landlord") and ________________________ ("Tenant"). Each Landlord and Tenant may be referred to individually as a “Party” and collectively as the “Parties.”</w:t>
        <w:br w:type="textWrapping"/>
        <w:br w:type="textWrapping"/>
        <w:t xml:space="preserve">This Addendum is attached to and made a part of the (Check one): ☐ Commercial ☐ Residential Lease Agreement dated _______________, 20_____ (the “Lease Agreement”) for the rent and use of the property located at </w:t>
      </w:r>
      <w:r w:rsidDel="00000000" w:rsidR="00000000" w:rsidRPr="00000000">
        <w:rPr>
          <w:rFonts w:ascii="Arial" w:cs="Arial" w:eastAsia="Arial" w:hAnsi="Arial"/>
          <w:color w:val="000000"/>
          <w:sz w:val="20"/>
          <w:szCs w:val="20"/>
          <w:rtl w:val="0"/>
        </w:rPr>
        <w:t xml:space="preserve">________________________________________ (“Premises”)</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8">
      <w:pPr>
        <w:spacing w:after="24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Parties hereby mutually agree to amend the Lease Agreement by incorporating the following provisions in accordance with the Servicemembers Civil Relief Act (SCRA):</w:t>
        <w:br w:type="textWrapping"/>
        <w:br w:type="textWrapping"/>
      </w:r>
      <w:r w:rsidDel="00000000" w:rsidR="00000000" w:rsidRPr="00000000">
        <w:rPr>
          <w:rFonts w:ascii="Arial" w:cs="Arial" w:eastAsia="Arial" w:hAnsi="Arial"/>
          <w:b w:val="1"/>
          <w:sz w:val="20"/>
          <w:szCs w:val="20"/>
          <w:rtl w:val="0"/>
        </w:rPr>
        <w:t xml:space="preserve">1. Early Termination by Tenant on Military Grounds.</w:t>
      </w:r>
      <w:r w:rsidDel="00000000" w:rsidR="00000000" w:rsidRPr="00000000">
        <w:rPr>
          <w:rFonts w:ascii="Arial" w:cs="Arial" w:eastAsia="Arial" w:hAnsi="Arial"/>
          <w:sz w:val="20"/>
          <w:szCs w:val="20"/>
          <w:rtl w:val="0"/>
        </w:rPr>
        <w:t xml:space="preserve"> In the event the Tenant is, or hereafter becomes, a member of the United States Armed Forces (“Military”) on extended active duty and receives Permanent Change of Station (“PCS”) orders to depart from the area where the Premises is located, is relieved from active duty, retires or separates from the Military, or is ordered into Military housing, then the Tenant may terminate the Lease Agreement upon giving thirty (30) days written notice to the Landlord. Tenant shall also provide to the Landlord a copy of the official PCS orders or a letter signed by Tenant’s commanding officer, reflecting the change which warrants termination under this Addendum.</w:t>
        <w:br w:type="textWrapping"/>
        <w:br w:type="textWrapping"/>
      </w:r>
      <w:r w:rsidDel="00000000" w:rsidR="00000000" w:rsidRPr="00000000">
        <w:rPr>
          <w:rFonts w:ascii="Arial" w:cs="Arial" w:eastAsia="Arial" w:hAnsi="Arial"/>
          <w:b w:val="1"/>
          <w:sz w:val="20"/>
          <w:szCs w:val="20"/>
          <w:rtl w:val="0"/>
        </w:rPr>
        <w:t xml:space="preserve">2. Rent Proration.</w:t>
      </w:r>
      <w:r w:rsidDel="00000000" w:rsidR="00000000" w:rsidRPr="00000000">
        <w:rPr>
          <w:rFonts w:ascii="Arial" w:cs="Arial" w:eastAsia="Arial" w:hAnsi="Arial"/>
          <w:sz w:val="20"/>
          <w:szCs w:val="20"/>
          <w:rtl w:val="0"/>
        </w:rPr>
        <w:t xml:space="preserve"> Tenant will pay prorated rent for any days Tenant occupies the dwelling past the first day of the month rent is due.</w:t>
        <w:br w:type="textWrapping"/>
        <w:br w:type="textWrapping"/>
      </w:r>
      <w:r w:rsidDel="00000000" w:rsidR="00000000" w:rsidRPr="00000000">
        <w:rPr>
          <w:rFonts w:ascii="Arial" w:cs="Arial" w:eastAsia="Arial" w:hAnsi="Arial"/>
          <w:b w:val="1"/>
          <w:sz w:val="20"/>
          <w:szCs w:val="20"/>
          <w:rtl w:val="0"/>
        </w:rPr>
        <w:t xml:space="preserve">3. Security Deposit.</w:t>
      </w:r>
      <w:r w:rsidDel="00000000" w:rsidR="00000000" w:rsidRPr="00000000">
        <w:rPr>
          <w:rFonts w:ascii="Arial" w:cs="Arial" w:eastAsia="Arial" w:hAnsi="Arial"/>
          <w:sz w:val="20"/>
          <w:szCs w:val="20"/>
          <w:rtl w:val="0"/>
        </w:rPr>
        <w:t xml:space="preserve"> Any security deposit will be promptly returned to Tenant in accordance with the Lease Agreement.</w:t>
        <w:br w:type="textWrapping"/>
        <w:br w:type="textWrapping"/>
        <w:t xml:space="preserve">Except as set forth in this Addendum, all other terms and conditions of the Lease Agreement remain unchanged and shall continue in full force and effect. This Addendum is hereby incorporated into the Lease Agreement and in the event of any conflict between this Addendum and the Lease Agreement, the terms of this Addendum shall govern.</w:t>
        <w:br w:type="textWrapping"/>
        <w:br w:type="textWrapping"/>
        <w:t xml:space="preserve">This Addendum may be executed in one or more counterparts, each of which shall be deemed an original and all of which together, shall constitute one and the same document.</w:t>
        <w:br w:type="textWrapping"/>
        <w:br w:type="textWrapping"/>
        <w:t xml:space="preserve">IN WITNESS WHEREOF, this Addendum has been executed and delivered as of the date first written above.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bl>
      <w:tblPr>
        <w:tblStyle w:val="Table3"/>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B">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0C">
            <w:pPr>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0D">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0E">
            <w:pPr>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0F">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0">
            <w:pPr>
              <w:jc w:val="center"/>
              <w:rPr/>
            </w:pPr>
            <w:r w:rsidDel="00000000" w:rsidR="00000000" w:rsidRPr="00000000">
              <w:rPr>
                <w:rFonts w:ascii="Arial" w:cs="Arial" w:eastAsia="Arial" w:hAnsi="Arial"/>
                <w:b w:val="1"/>
                <w:sz w:val="20"/>
                <w:szCs w:val="20"/>
                <w:rtl w:val="0"/>
              </w:rPr>
              <w:t xml:space="preserve">Landlord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11">
      <w:pPr>
        <w:spacing w:after="240" w:before="240" w:lineRule="auto"/>
        <w:jc w:val="both"/>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tbl>
      <w:tblPr>
        <w:tblStyle w:val="Table4"/>
        <w:tblW w:w="9360.0" w:type="dxa"/>
        <w:jc w:val="center"/>
        <w:tblLayout w:type="fixed"/>
        <w:tblLook w:val="0400"/>
      </w:tblPr>
      <w:tblGrid>
        <w:gridCol w:w="4012"/>
        <w:gridCol w:w="1127"/>
        <w:gridCol w:w="4221"/>
        <w:tblGridChange w:id="0">
          <w:tblGrid>
            <w:gridCol w:w="4012"/>
            <w:gridCol w:w="1127"/>
            <w:gridCol w:w="4221"/>
          </w:tblGrid>
        </w:tblGridChange>
      </w:tblGrid>
      <w:tr>
        <w:trPr>
          <w:cantSplit w:val="0"/>
          <w:tblHeader w:val="0"/>
        </w:trPr>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3">
            <w:pPr>
              <w:rPr/>
            </w:pPr>
            <w:r w:rsidDel="00000000" w:rsidR="00000000" w:rsidRPr="00000000">
              <w:rPr>
                <w:rtl w:val="0"/>
              </w:rPr>
            </w:r>
          </w:p>
        </w:tc>
        <w:tc>
          <w:tcPr>
            <w:tcMar>
              <w:top w:w="15.0" w:type="dxa"/>
              <w:left w:w="15.0" w:type="dxa"/>
              <w:bottom w:w="15.0" w:type="dxa"/>
              <w:right w:w="15.0" w:type="dxa"/>
            </w:tcMar>
            <w:vAlign w:val="bottom"/>
          </w:tcPr>
          <w:p w:rsidR="00000000" w:rsidDel="00000000" w:rsidP="00000000" w:rsidRDefault="00000000" w:rsidRPr="00000000" w14:paraId="00000014">
            <w:pPr>
              <w:rPr/>
            </w:pPr>
            <w:r w:rsidDel="00000000" w:rsidR="00000000" w:rsidRPr="00000000">
              <w:rPr>
                <w:rtl w:val="0"/>
              </w:rPr>
            </w:r>
          </w:p>
        </w:tc>
        <w:tc>
          <w:tcPr>
            <w:tcBorders>
              <w:bottom w:color="000000" w:space="0" w:sz="6" w:val="single"/>
            </w:tcBorders>
            <w:tcMar>
              <w:top w:w="15.0" w:type="dxa"/>
              <w:left w:w="15.0" w:type="dxa"/>
              <w:bottom w:w="15.0" w:type="dxa"/>
              <w:right w:w="15.0" w:type="dxa"/>
            </w:tcMar>
            <w:vAlign w:val="bottom"/>
          </w:tcPr>
          <w:p w:rsidR="00000000" w:rsidDel="00000000" w:rsidP="00000000" w:rsidRDefault="00000000" w:rsidRPr="00000000" w14:paraId="00000015">
            <w:pPr>
              <w:rPr/>
            </w:pP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16">
            <w:pPr>
              <w:jc w:val="center"/>
              <w:rPr/>
            </w:pPr>
            <w:r w:rsidDel="00000000" w:rsidR="00000000" w:rsidRPr="00000000">
              <w:rPr>
                <w:rFonts w:ascii="Arial" w:cs="Arial" w:eastAsia="Arial" w:hAnsi="Arial"/>
                <w:b w:val="1"/>
                <w:sz w:val="20"/>
                <w:szCs w:val="20"/>
                <w:rtl w:val="0"/>
              </w:rPr>
              <w:t xml:space="preserve">Tenant</w:t>
            </w:r>
            <w:r w:rsidDel="00000000" w:rsidR="00000000" w:rsidRPr="00000000">
              <w:rPr>
                <w:rFonts w:ascii="Arial" w:cs="Arial" w:eastAsia="Arial" w:hAnsi="Arial"/>
                <w:sz w:val="20"/>
                <w:szCs w:val="20"/>
                <w:rtl w:val="0"/>
              </w:rPr>
              <w:t xml:space="preserve"> 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7">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18">
            <w:pPr>
              <w:jc w:val="center"/>
              <w:rPr/>
            </w:pPr>
            <w:r w:rsidDel="00000000" w:rsidR="00000000" w:rsidRPr="00000000">
              <w:rPr>
                <w:rFonts w:ascii="Arial" w:cs="Arial" w:eastAsia="Arial" w:hAnsi="Arial"/>
                <w:b w:val="1"/>
                <w:sz w:val="20"/>
                <w:szCs w:val="20"/>
                <w:rtl w:val="0"/>
              </w:rPr>
              <w:t xml:space="preserve">Tenant </w:t>
            </w:r>
            <w:r w:rsidDel="00000000" w:rsidR="00000000" w:rsidRPr="00000000">
              <w:rPr>
                <w:rFonts w:ascii="Arial" w:cs="Arial" w:eastAsia="Arial" w:hAnsi="Arial"/>
                <w:sz w:val="20"/>
                <w:szCs w:val="20"/>
                <w:rtl w:val="0"/>
              </w:rPr>
              <w:t xml:space="preserve">Full Name</w:t>
            </w:r>
            <w:r w:rsidDel="00000000" w:rsidR="00000000" w:rsidRPr="00000000">
              <w:rPr>
                <w:rtl w:val="0"/>
              </w:rPr>
            </w:r>
          </w:p>
        </w:tc>
      </w:tr>
    </w:tbl>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color w:val="000000"/>
      </w:rPr>
    </w:pPr>
    <w:hyperlink r:id="rId1">
      <w:r w:rsidDel="00000000" w:rsidR="00000000" w:rsidRPr="00000000">
        <w:rPr>
          <w:color w:val="1155cc"/>
          <w:u w:val="single"/>
        </w:rPr>
        <w:drawing>
          <wp:inline distB="0" distT="0" distL="0" distR="0">
            <wp:extent cx="196086" cy="195570"/>
            <wp:effectExtent b="0" l="0" r="0" t="0"/>
            <wp:docPr id="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96086" cy="195570"/>
                    </a:xfrm>
                    <a:prstGeom prst="rect"/>
                    <a:ln/>
                  </pic:spPr>
                </pic:pic>
              </a:graphicData>
            </a:graphic>
          </wp:inline>
        </w:drawing>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legaltemplates.net/"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8tD7d00o/w10Qr6S8qsqxzihsA==">CgMxLjA4AGoiChRzdWdnZXN0Lmo3NnNsbzdsNnB4NxIKSnVzdGluIExlZXIhMTUzckN3NVZXWjV4Uy1ON2xZZ0YzTElRaFR1d1RBMF9K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iteId">
    <vt:lpwstr>06457071-85c3-48e9-99e5-a60101484f8d</vt:lpwstr>
  </property>
  <property fmtid="{D5CDD505-2E9C-101B-9397-08002B2CF9AE}" pid="4" name="MSIP_Label_defa4170-0d19-0005-0004-bc88714345d2_ActionId">
    <vt:lpwstr>a6b7267f-2f59-41fe-8f0e-7d83cbf7860e</vt:lpwstr>
  </property>
  <property fmtid="{D5CDD505-2E9C-101B-9397-08002B2CF9AE}" pid="5" name="MSIP_Label_defa4170-0d19-0005-0004-bc88714345d2_ContentBits">
    <vt:lpwstr>0</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2024-01-15T14:44:43Z</vt:lpwstr>
  </property>
  <property fmtid="{D5CDD505-2E9C-101B-9397-08002B2CF9AE}" pid="8" name="MSIP_Label_defa4170-0d19-0005-0004-bc88714345d2_Method">
    <vt:lpwstr>Standard</vt:lpwstr>
  </property>
</Properties>
</file>